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8"/>
          <w:szCs w:val="28"/>
          <w:lang w:val="en-CA"/>
        </w:rPr>
      </w:pPr>
      <w:bookmarkStart w:id="0" w:name="_GoBack"/>
      <w:bookmarkEnd w:id="0"/>
      <w:r>
        <w:rPr>
          <w:rFonts w:ascii="TT15Et00" w:hAnsi="TT15Et00" w:cs="TT15Et00"/>
          <w:color w:val="000000"/>
          <w:sz w:val="28"/>
          <w:szCs w:val="28"/>
          <w:lang w:val="en-CA"/>
        </w:rPr>
        <w:t>OVERVIEW AND DEFINITIONS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8"/>
          <w:szCs w:val="28"/>
          <w:lang w:val="en-CA"/>
        </w:rPr>
      </w:pPr>
      <w:r>
        <w:rPr>
          <w:rFonts w:ascii="TT15Et00" w:hAnsi="TT15Et00" w:cs="TT15Et00"/>
          <w:color w:val="000000"/>
          <w:sz w:val="28"/>
          <w:szCs w:val="28"/>
          <w:lang w:val="en-CA"/>
        </w:rPr>
        <w:t>Introduction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Theat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r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e has a long-established practice of providing high levels of customer service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and accommodation to its patrons. We strive for excellence on our two stages; the experience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that a patron encounters when interacting with employees and volunteers – whether on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phone, through written communication or in-person – also needs to meet this high standard.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aspires to extend this level of customer service to all patrons, including those with a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disability. Many changes to our programs, facilities and services in through the years have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helped to improve our ability to serve patrons with disabilities.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8"/>
          <w:szCs w:val="28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8"/>
          <w:szCs w:val="28"/>
          <w:lang w:val="en-CA"/>
        </w:rPr>
      </w:pPr>
      <w:r>
        <w:rPr>
          <w:rFonts w:ascii="TT15Et00" w:hAnsi="TT15Et00" w:cs="TT15Et00"/>
          <w:color w:val="000000"/>
          <w:sz w:val="28"/>
          <w:szCs w:val="28"/>
          <w:lang w:val="en-CA"/>
        </w:rPr>
        <w:t>Definitions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>“Disability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” as defined by the Ontario Human Rights Code means,</w:t>
      </w:r>
    </w:p>
    <w:p w:rsidR="00C34758" w:rsidRPr="00034308" w:rsidRDefault="00C34758" w:rsidP="00C34758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any degree of physical disability, infirmity, malformation or disfigurement that is caused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by bodily injury, birth defect or illness and, without limiting the generality of the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foregoing, includes diabetes mellitus, epilepsy, a brain injury, any degree of paralysis,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amputation, lack of physical co-ordination, blindness or visual impediment, deafness or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hearing impediment, muteness or speech impediment, or physical reliance on a guide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dog or other animal or on a wheelchair or other remedial appliance or device,</w:t>
      </w:r>
    </w:p>
    <w:p w:rsidR="00C34758" w:rsidRPr="00034308" w:rsidRDefault="00C34758" w:rsidP="00034308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a condition of mental impairment or a developmental disability,</w:t>
      </w:r>
    </w:p>
    <w:p w:rsidR="00C34758" w:rsidRPr="00034308" w:rsidRDefault="00C34758" w:rsidP="00C34758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a learning disability, or a dysfunction in one or more of the processes involved in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understanding or using symbols or spoken language,</w:t>
      </w:r>
    </w:p>
    <w:p w:rsidR="00C34758" w:rsidRPr="00034308" w:rsidRDefault="00C34758" w:rsidP="00034308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a mental disorder, or</w:t>
      </w:r>
    </w:p>
    <w:p w:rsidR="00C34758" w:rsidRPr="00034308" w:rsidRDefault="00C34758" w:rsidP="00C34758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>an injury or disability for which benefits were claimed or received under the insurance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034308">
        <w:rPr>
          <w:rFonts w:ascii="TT15Ct00" w:hAnsi="TT15Ct00" w:cs="TT15Ct00"/>
          <w:color w:val="000000"/>
          <w:sz w:val="24"/>
          <w:szCs w:val="24"/>
          <w:lang w:val="en-CA"/>
        </w:rPr>
        <w:t xml:space="preserve">plan established under the </w:t>
      </w:r>
      <w:r w:rsidRPr="00034308">
        <w:rPr>
          <w:rFonts w:ascii="TT15Dt00" w:hAnsi="TT15Dt00" w:cs="TT15Dt00"/>
          <w:color w:val="000000"/>
          <w:sz w:val="24"/>
          <w:szCs w:val="24"/>
          <w:lang w:val="en-CA"/>
        </w:rPr>
        <w:t>Workplace Safety and Insurance Act, 1997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 xml:space="preserve">“Access”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means that the Grand is committed to making its premises and services available to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patrons with a disability by removing barriers and in a manner that embraces the principles of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dignity, independence, integration and equal opportunity.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 xml:space="preserve">“Dignity”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means that service is provided in a way that allows the person with a disability to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maintain self-respect and the respect of other people.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 xml:space="preserve">“Independence”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means when a person with a disability is allowed to do things on their own,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without unnecessary help or interference from others.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 xml:space="preserve">“Integration and Equal Opportunity”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means that service is provided in a way that allows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person with a disability to benefit from the same services, in the same place, and in the same or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similar way as other customers, unless an alternative measure is necessary to enable a person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with disability to access goods or services. They should not have to make significantly more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effort to access or obtain services. They should also not have to accept inconvenience or lesser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quality. Sometimes this may mean that the Grand has to treat individuals slightly differently so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they can benefit fully from the services.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recognizes that the provision of fully accessible services in accessible facilities is a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process that is under constant review and improvement. Feedback on any aspect of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accessibility program at the Grand is encouraged from employees, volunteers, patrons and will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be reviewed and embraced by the Joint Health and Safety Committee.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8"/>
          <w:szCs w:val="28"/>
          <w:lang w:val="en-CA"/>
        </w:rPr>
      </w:pPr>
    </w:p>
    <w:p w:rsidR="00C34758" w:rsidRP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8"/>
          <w:szCs w:val="28"/>
          <w:lang w:val="en-CA"/>
        </w:rPr>
      </w:pPr>
      <w:r w:rsidRPr="00C34758">
        <w:rPr>
          <w:rFonts w:ascii="TT15Et00" w:hAnsi="TT15Et00" w:cs="TT15Et00"/>
          <w:color w:val="000000"/>
          <w:sz w:val="28"/>
          <w:szCs w:val="28"/>
          <w:lang w:val="en-CA"/>
        </w:rPr>
        <w:t>ASSI</w:t>
      </w:r>
      <w:r w:rsidRPr="00C34758">
        <w:rPr>
          <w:rFonts w:ascii="TT15Et00" w:hAnsi="TT15Et00" w:cs="TT15Et00"/>
          <w:color w:val="000000"/>
          <w:sz w:val="28"/>
          <w:szCs w:val="28"/>
          <w:lang w:val="en-CA"/>
        </w:rPr>
        <w:t>S</w:t>
      </w:r>
      <w:r w:rsidRPr="00C34758">
        <w:rPr>
          <w:rFonts w:ascii="TT15Et00" w:hAnsi="TT15Et00" w:cs="TT15Et00"/>
          <w:color w:val="000000"/>
          <w:sz w:val="28"/>
          <w:szCs w:val="28"/>
          <w:lang w:val="en-CA"/>
        </w:rPr>
        <w:t>TIVE DEVICES &amp; SERVICES</w:t>
      </w:r>
    </w:p>
    <w:p w:rsidR="00C34758" w:rsidRP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Policy: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is committed to serving all patrons with disabilities, and ensuring that those who use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assistive devices will benefit from enjoying a fulfilling experience at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t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he Grand Theatre.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Procedures: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will ensure that all employees and volunteers are aware of the various assistive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devices provided by the theatre that may be used by patrons with disabilities while accessing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our programs, products and services. Assistive devices are devices that are used to assist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persons with disabilities in carrying our activities or accessing the services of persons or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organizations.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theatre currently provides the following to assist our patrons with disabilities while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attending a theatre performance: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A 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Wheelchair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 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available to borrow on a first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-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come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,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 first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-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serve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d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 basis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,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 and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is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 located in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the coat check area</w:t>
      </w: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Hearing assistive receivers are available </w:t>
      </w:r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 xml:space="preserve">free of charge 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for patrons w</w:t>
      </w:r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 xml:space="preserve">ho are hard of hearing or require hearing assistance, and may be borrowed from the coat check area. Patrons must deposit a form of identification (drivers license, etc.) when signing out devices, which will be returned to them upon receipt of the device. A limited number of dual ear headphones are available for loan. There are sufficient single-ear earphones available for all devices. Patrons are permitted </w:t>
      </w:r>
      <w:proofErr w:type="gramStart"/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>and  encouraged</w:t>
      </w:r>
      <w:proofErr w:type="gramEnd"/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 xml:space="preserve"> to bring earbuds or headphones they find comfortable to use with these devices, should they wish not to use the provided earphones.</w:t>
      </w: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Ft00" w:hAnsi="TT15Ft00" w:cs="TT15Ft00"/>
          <w:color w:val="000000"/>
          <w:sz w:val="24"/>
          <w:szCs w:val="24"/>
          <w:lang w:val="en-CA"/>
        </w:rPr>
      </w:pPr>
      <w:r w:rsidRPr="00C34758">
        <w:rPr>
          <w:rFonts w:ascii="TT15Ft00" w:hAnsi="TT15Ft00" w:cs="TT15Ft00"/>
          <w:color w:val="000000"/>
          <w:sz w:val="24"/>
          <w:szCs w:val="24"/>
          <w:lang w:val="en-CA"/>
        </w:rPr>
        <w:t>Motorized door controls on barrier-free doors</w:t>
      </w: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Special access washroom with assistive bars</w:t>
      </w: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Elevators in all levels for public use</w:t>
      </w: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Wheelchair accessible seating and companion seats, which need to be reserved at the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time of ticket purchase</w:t>
      </w: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Hand rail</w:t>
      </w:r>
      <w:r w:rsidR="006A7ECF">
        <w:rPr>
          <w:rFonts w:ascii="TT15Ct00" w:hAnsi="TT15Ct00" w:cs="TT15Ct00"/>
          <w:color w:val="000000"/>
          <w:sz w:val="24"/>
          <w:szCs w:val="24"/>
          <w:lang w:val="en-CA"/>
        </w:rPr>
        <w:t>s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 in </w:t>
      </w:r>
      <w:r w:rsidR="006A7ECF">
        <w:rPr>
          <w:rFonts w:ascii="TT15Ct00" w:hAnsi="TT15Ct00" w:cs="TT15Ct00"/>
          <w:color w:val="000000"/>
          <w:sz w:val="24"/>
          <w:szCs w:val="24"/>
          <w:lang w:val="en-CA"/>
        </w:rPr>
        <w:t>the theatre spaces</w:t>
      </w: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M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agnifying sheets (to assist in reading house programs or other materials) may be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borrowed from the coat check area.</w:t>
      </w:r>
    </w:p>
    <w:p w:rsidR="00C34758" w:rsidRPr="00C34758" w:rsidRDefault="00C34758" w:rsidP="00C3475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Theatre employees and volunteers will assist patrons in locating and using assistive devices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C34758">
        <w:rPr>
          <w:rFonts w:ascii="TT15Ct00" w:hAnsi="TT15Ct00" w:cs="TT15Ct00"/>
          <w:color w:val="000000"/>
          <w:sz w:val="24"/>
          <w:szCs w:val="24"/>
          <w:lang w:val="en-CA"/>
        </w:rPr>
        <w:t>upon request.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also welcomes patrons who bring their own assistive devices (canes, wheelchairs,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walkers, service dogs etc.). Due to fire regulations and space limitations, large assistive devices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(</w:t>
      </w:r>
      <w:proofErr w:type="spellStart"/>
      <w:r>
        <w:rPr>
          <w:rFonts w:ascii="TT15Ct00" w:hAnsi="TT15Ct00" w:cs="TT15Ct00"/>
          <w:color w:val="000000"/>
          <w:sz w:val="24"/>
          <w:szCs w:val="24"/>
          <w:lang w:val="en-CA"/>
        </w:rPr>
        <w:t>eg.</w:t>
      </w:r>
      <w:proofErr w:type="spellEnd"/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walkers) will be stored outside of the auditorium during performances. Employees will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assist in storage and retrieval of assistive devices. The theatre is not responsible for any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lost/damaged items if they are stored during a performance.</w:t>
      </w:r>
    </w:p>
    <w:p w:rsidR="006F4D4C" w:rsidRDefault="006F4D4C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>ADDITIONAL ASSISTIVE SERVICES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The Grand contracts bus companies to provide transportation to the theatre for </w:t>
      </w:r>
      <w:proofErr w:type="spellStart"/>
      <w:r w:rsidR="006F4D4C">
        <w:rPr>
          <w:rFonts w:ascii="TT15Ct00" w:hAnsi="TT15Ct00" w:cs="TT15Ct00"/>
          <w:color w:val="000000"/>
          <w:sz w:val="24"/>
          <w:szCs w:val="24"/>
          <w:lang w:val="en-CA"/>
        </w:rPr>
        <w:t>Reaney</w:t>
      </w:r>
      <w:proofErr w:type="spellEnd"/>
      <w:r w:rsidR="006F4D4C">
        <w:rPr>
          <w:rFonts w:ascii="TT15Ct00" w:hAnsi="TT15Ct00" w:cs="TT15Ct00"/>
          <w:color w:val="000000"/>
          <w:sz w:val="24"/>
          <w:szCs w:val="24"/>
          <w:lang w:val="en-CA"/>
        </w:rPr>
        <w:t xml:space="preserve"> Talk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days from selected London locations. Patrons requiring accessible bus transportation need to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reserve this in advance and request an accessible vehicle at the time of the reservation.</w:t>
      </w:r>
    </w:p>
    <w:p w:rsidR="007F4D1A" w:rsidRDefault="007F4D1A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provides occasional American Sign Language interpreted performances for patrons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who communicate using </w:t>
      </w:r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>Sign Language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. Specific performances with </w:t>
      </w:r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>Sign Language</w:t>
      </w:r>
      <w:r w:rsidR="006F4D4C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interpretation will be denoted on the website.</w:t>
      </w:r>
      <w:r w:rsidR="007F4D1A">
        <w:rPr>
          <w:rFonts w:ascii="TT15Ct00" w:hAnsi="TT15Ct00" w:cs="TT15Ct00"/>
          <w:color w:val="000000"/>
          <w:sz w:val="24"/>
          <w:szCs w:val="24"/>
          <w:lang w:val="en-CA"/>
        </w:rPr>
        <w:t xml:space="preserve"> For these performances, a block of seats is reserved for those patrons using these services in a location that allows simultaneous viewing of the performance and the interpreters. Patrons wishing to book these seats should contact the box office directly by phone or email.</w:t>
      </w:r>
    </w:p>
    <w:p w:rsidR="007F4D1A" w:rsidRDefault="007F4D1A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7F4D1A" w:rsidRDefault="007F4D1A" w:rsidP="007F4D1A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The Grand provides occasional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Open Captioned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p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erformances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for patrons who are </w:t>
      </w:r>
      <w:r w:rsidR="00C72144">
        <w:rPr>
          <w:rFonts w:ascii="TT15Ct00" w:hAnsi="TT15Ct00" w:cs="TT15Ct00"/>
          <w:color w:val="000000"/>
          <w:sz w:val="24"/>
          <w:szCs w:val="24"/>
          <w:lang w:val="en-CA"/>
        </w:rPr>
        <w:t>D/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deaf or hard of hearing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. Specific performances with ASL interpretation will be denoted on the website. For these performances, a block of seats is reserved for those patrons using these services in a location that allows simultaneous viewing of the performance and the</w:t>
      </w:r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 xml:space="preserve"> Open Captioned screen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. Patrons wishing to book these seats should contact the box office directly by phone or email.</w:t>
      </w:r>
    </w:p>
    <w:p w:rsidR="007F4D1A" w:rsidRDefault="007F4D1A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Patrons requiring </w:t>
      </w:r>
      <w:r w:rsidR="007F4D1A">
        <w:rPr>
          <w:rFonts w:ascii="TT15Ct00" w:hAnsi="TT15Ct00" w:cs="TT15Ct00"/>
          <w:color w:val="000000"/>
          <w:sz w:val="24"/>
          <w:szCs w:val="24"/>
          <w:lang w:val="en-CA"/>
        </w:rPr>
        <w:t xml:space="preserve">these and/or other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accessib</w:t>
      </w:r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>ility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accommodations should discuss available options for accessible</w:t>
      </w:r>
      <w:r w:rsidR="007F4D1A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rooms with a member of the Box office staff.</w:t>
      </w:r>
    </w:p>
    <w:p w:rsidR="007F4D1A" w:rsidRDefault="007F4D1A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is committed to researching and implementing additional assistive devices as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technology evolves and additional solutions become available.</w:t>
      </w:r>
    </w:p>
    <w:p w:rsidR="007F4D1A" w:rsidRDefault="007F4D1A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>COMMUNICATION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Policy: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Grand’s customer service policies and procedures take a person’s disability into account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when communicating with the individual. Two</w:t>
      </w:r>
      <w:r w:rsidR="00517189">
        <w:rPr>
          <w:rFonts w:ascii="TT15Ct00" w:hAnsi="TT15Ct00" w:cs="TT15Ct00"/>
          <w:color w:val="000000"/>
          <w:sz w:val="24"/>
          <w:szCs w:val="24"/>
          <w:lang w:val="en-CA"/>
        </w:rPr>
        <w:t>-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way communication is a process of providing,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sending, receiving and understanding information. To communicate in an effective way, Grand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employees and volunteers consider how the disability affects the way that the person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expresses, receives or processes communications. Where possible, the Grand employee or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volunteer asks the patron directly the best way to communicate with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them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Procedures: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theatre uses a variety of ways, wherever possible, to make communications more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accessible by:</w:t>
      </w:r>
    </w:p>
    <w:p w:rsidR="00C34758" w:rsidRPr="001809BB" w:rsidRDefault="00C34758" w:rsidP="001809BB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lastRenderedPageBreak/>
        <w:t>Considering the needs of people with disabilities during the planning stage or services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and communication development</w:t>
      </w:r>
    </w:p>
    <w:p w:rsidR="00C34758" w:rsidRPr="001809BB" w:rsidRDefault="00C34758" w:rsidP="001809BB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Using plain language to make a document easier to read for people with certain learning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disab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>ilities</w:t>
      </w: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.</w:t>
      </w:r>
    </w:p>
    <w:p w:rsidR="00C34758" w:rsidRPr="001809BB" w:rsidRDefault="00C34758" w:rsidP="001809BB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Offering information in alternate formats:</w:t>
      </w:r>
    </w:p>
    <w:p w:rsidR="00C34758" w:rsidRPr="001809BB" w:rsidRDefault="00C34758" w:rsidP="001809BB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Passing hand-written or typed information back and forth</w:t>
      </w:r>
    </w:p>
    <w:p w:rsidR="00C34758" w:rsidRPr="001809BB" w:rsidRDefault="00C34758" w:rsidP="001809BB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Printed hand-outs of commonly used information</w:t>
      </w:r>
    </w:p>
    <w:p w:rsidR="00C34758" w:rsidRPr="001809BB" w:rsidRDefault="00C34758" w:rsidP="001809BB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Magnifying sheets for reading</w:t>
      </w:r>
    </w:p>
    <w:p w:rsidR="00C34758" w:rsidRPr="001809BB" w:rsidRDefault="00C34758" w:rsidP="001809BB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Email as an alternate channel to provide accessible communication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is continuing to research new technologies and is committing to improving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communications options available to patrons with disabilities.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lang w:val="en-CA"/>
        </w:rPr>
      </w:pPr>
      <w:r>
        <w:rPr>
          <w:rFonts w:ascii="TT15Et00" w:hAnsi="TT15Et00" w:cs="TT15Et00"/>
          <w:color w:val="000000"/>
          <w:lang w:val="en-CA"/>
        </w:rPr>
        <w:t>SERVICE ANIMALS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Policy: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Theatre welcomes patrons with disabilities who are accompanied by a trained,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accredited service animal. A service animal many accompany a patron or any third party with a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disability to all parts of the premises that are open to the public. Service animals may be used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for, but not limited to, the following disabilities: vision loss, physical disability, hearing loss,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autism, epilepsy etc. Although service animals are most commonly dogs, other trained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accredited service animals could include other types of animals. The Grand ensures that all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employees, volunteers and others dealing with public are properly trained in how to interact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with people with disabilities, who are accompanied by a service animal.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Procedure: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To be considered a service animal under this standard, it must either be readily apparent that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animal is being used because of a person’s disability or the person with a disability may be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asked to provide a letter from a physician or nurse confirming that it is required because of</w:t>
      </w:r>
    </w:p>
    <w:p w:rsidR="00C34758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their</w:t>
      </w:r>
      <w:r w:rsid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 disability. The Grand enforces a general policy that does not permit pets on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premises, however, service animals are not considered pets – they are working animals. They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are used by people with disabilities to overcome barriers much like assistive devices such as a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white cane or a wheelchair.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Guide dogs or other trained accredited service animals, including those in training, are allowed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to accompany people with disabilities on the theatre premises open to the public. If a patron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with a service animal is intending to see a performance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they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need to advise the Box Office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representative when purchasing tickets so that an appropriate seat (aisle or special access) may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be assigned. The House Manager and Stage Manager of the performance will also be advised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that a service animal will be in the theatre.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At times, due to capacity, patrons with disabilities accompanied by service animals may be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advised that the crowded conditions may make it difficult to manoeuvre. If the service animal is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lastRenderedPageBreak/>
        <w:t>ca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u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sing a disturbance for other visitors, the patron and accompanying service animal may be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required to leave the area or Grand premises.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The owner is responsible to “stoop and scoop”.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Patrons bringing a service animal should review any patron advisories about special effects that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are in a production that may affect their service animal (e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>.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g. noise, lights, other animals, etc.).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This information may not be known at the time of booking, but can be confirmed by the box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office staff and/or on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-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site staff closer to the date of the performance. The Grand anticipates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there will be special situations and is prepared to make every effort to accommodate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circumstances on an individual basis as they arise, keeping safety to all patrons and service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animals in mind.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For more information, patrons may contact our Box Office staff at 519 672 8800 or speak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directly to an on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-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site staff member or volunteer when they visit our premises.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>SUPPORT PERSONS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Policy: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Theatre is committed to welcoming patrons with disabilities who are accompanied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by a support person. Any person with a disability who is accompanied by a support person is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allowed to enter the Grand’s premises with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their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support person. At no time will a person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with a disability who is accompanied by a support person be prevented from having access to</w:t>
      </w:r>
    </w:p>
    <w:p w:rsidR="00C34758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their</w:t>
      </w:r>
      <w:r w:rsid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 support person while on the Grand premises.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 support person is an individual hired or chosen by a person with a disability to provide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services or assistance with communication, mobility, personal care, medical needs or with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access to goods or services.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Procedure: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Each patron with a disability and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their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accompanying support person attending a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performance or event is required to have a valid ticket to that performance or event.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Admission prices will be charged for both attendees based on the location of the seating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section chosen.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Complimentary admission for one support person accompanying a patron with a valid CNIB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card or an A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c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cess2 card will be granted.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Such bookings must be made directly with Box Office staff in-person, over the phone, or by email.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The Grand will consider additional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requests on a case by case basis.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Patrons may contact the Grand Box Office at 519 672 8800 for more information, or to request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that their situation be considered.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>TEMPORARY DISRUPTION OF SERVICE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lastRenderedPageBreak/>
        <w:t>Policy: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Theatre is aware that temporary disruptions of services (daily functions – elevators,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physical operations) and programs may occur due to reasons that may or may not be within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Grand’s control or knowledge. These disruptions of service may be particularly challenging for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patrons with a disability.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will make all reasonable efforts to provide advance notice of the disruption to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public, including information about the reason for the disruption, its anticipated duration and a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description of alternative facilities or services, if any, that may be available.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Advance notice of a disruption of services will be made, if possible, through the following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communication channels, as appropriate;</w:t>
      </w:r>
    </w:p>
    <w:p w:rsidR="00C34758" w:rsidRPr="001809BB" w:rsidRDefault="00C34758" w:rsidP="001809B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T15Ct00" w:hAnsi="TT15Ct00" w:cs="TT15Ct00"/>
          <w:sz w:val="24"/>
          <w:szCs w:val="24"/>
          <w:lang w:val="en-CA"/>
        </w:rPr>
      </w:pPr>
      <w:r w:rsidRPr="001809BB">
        <w:rPr>
          <w:rFonts w:ascii="TT15Ct00" w:hAnsi="TT15Ct00" w:cs="TT15Ct00"/>
          <w:sz w:val="24"/>
          <w:szCs w:val="24"/>
          <w:lang w:val="en-CA"/>
        </w:rPr>
        <w:t>The Grand Theatre website: www.grandtheatre.com</w:t>
      </w:r>
    </w:p>
    <w:p w:rsidR="00C34758" w:rsidRPr="001809BB" w:rsidRDefault="00C34758" w:rsidP="001809B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Temporary on-site signage</w:t>
      </w:r>
    </w:p>
    <w:p w:rsidR="00C34758" w:rsidRPr="001809BB" w:rsidRDefault="00C34758" w:rsidP="001809B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Social Media (e</w:t>
      </w:r>
      <w:r w:rsidR="00034308">
        <w:rPr>
          <w:rFonts w:ascii="TT15Ct00" w:hAnsi="TT15Ct00" w:cs="TT15Ct00"/>
          <w:color w:val="000000"/>
          <w:sz w:val="24"/>
          <w:szCs w:val="24"/>
          <w:lang w:val="en-CA"/>
        </w:rPr>
        <w:t>.</w:t>
      </w: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g. Facebook, Twitter)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In the event of an unexpected disruption, advance notice may not be possible. In such cases,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will provide on-site signage.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Staff and volunteers will be kept informed through pre-shift meetings and emails as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appropriate.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Patrons with a disability who are inconvenienced, or cannot access the theatre premises due to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a temporary disruption of service should speak to a Box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O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ffice representative or House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Manager for assistance and accommodation.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>FEEDBACK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Policy: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Theatre values feedback from its patrons and has established processes in place to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receive and respond to such feedback, </w:t>
      </w:r>
      <w:r w:rsidR="001809BB">
        <w:rPr>
          <w:rFonts w:ascii="TT15Ct00" w:hAnsi="TT15Ct00" w:cs="TT15Ct00"/>
          <w:color w:val="000000"/>
          <w:sz w:val="24"/>
          <w:szCs w:val="24"/>
          <w:lang w:val="en-CA"/>
        </w:rPr>
        <w:t>t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he theatre welcomes feedback from patrons with</w:t>
      </w:r>
    </w:p>
    <w:p w:rsidR="00C34758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accessibility needs</w:t>
      </w:r>
      <w:r w:rsidR="00C34758">
        <w:rPr>
          <w:rFonts w:ascii="TT15Ct00" w:hAnsi="TT15Ct00" w:cs="TT15Ct00"/>
          <w:color w:val="000000"/>
          <w:sz w:val="24"/>
          <w:szCs w:val="24"/>
          <w:lang w:val="en-CA"/>
        </w:rPr>
        <w:t xml:space="preserve"> about their experience at the Grand, and the quality of their interactions with Grand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="00C34758">
        <w:rPr>
          <w:rFonts w:ascii="TT15Ct00" w:hAnsi="TT15Ct00" w:cs="TT15Ct00"/>
          <w:color w:val="000000"/>
          <w:sz w:val="24"/>
          <w:szCs w:val="24"/>
          <w:lang w:val="en-CA"/>
        </w:rPr>
        <w:t>employees and volunteers.</w:t>
      </w:r>
    </w:p>
    <w:p w:rsidR="001809BB" w:rsidRDefault="001809BB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Procedures: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Patrons with 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accessibility needs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can offer their feedback in the following ways:</w:t>
      </w:r>
    </w:p>
    <w:p w:rsidR="00A12103" w:rsidRDefault="00C34758" w:rsidP="001809B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 xml:space="preserve">Mail correspondence to: </w:t>
      </w:r>
    </w:p>
    <w:p w:rsidR="00C34758" w:rsidRPr="00A12103" w:rsidRDefault="00C34758" w:rsidP="001809B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Executive Director, 471 Richmond Street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London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>,</w:t>
      </w: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O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>N</w:t>
      </w: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N6A 3E4</w:t>
      </w:r>
    </w:p>
    <w:p w:rsidR="00A12103" w:rsidRPr="00A12103" w:rsidRDefault="00C34758" w:rsidP="00A12103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E-mail to: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dharvey@grandtheatre.com</w:t>
      </w:r>
    </w:p>
    <w:p w:rsidR="00C34758" w:rsidRPr="001809BB" w:rsidRDefault="00C34758" w:rsidP="001809B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Telephone customer service at: 519 672 8800</w:t>
      </w:r>
    </w:p>
    <w:p w:rsidR="00C34758" w:rsidRPr="001809BB" w:rsidRDefault="00C34758" w:rsidP="001809B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1809BB">
        <w:rPr>
          <w:rFonts w:ascii="TT15Ct00" w:hAnsi="TT15Ct00" w:cs="TT15Ct00"/>
          <w:color w:val="000000"/>
          <w:sz w:val="24"/>
          <w:szCs w:val="24"/>
          <w:lang w:val="en-CA"/>
        </w:rPr>
        <w:t>In person to theatre staff, management or volunteers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Patrons providing feedback will be asked to provide their name and contact information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(phone, e-mail and/or address)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Once feedback is received, the following actions will be taken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>: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The feedback will be directed to the appropriate person.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The feedback will be assessed for appropriate action.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lastRenderedPageBreak/>
        <w:t>A response, if required, will be made in a timely manner.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feedback process is readily available to the public through:</w:t>
      </w:r>
    </w:p>
    <w:p w:rsidR="00C34758" w:rsidRPr="00A12103" w:rsidRDefault="00A12103" w:rsidP="00A12103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</w:t>
      </w:r>
      <w:r w:rsidR="00C34758" w:rsidRP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notice on the website;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A sign in all theatre locations;</w:t>
      </w:r>
    </w:p>
    <w:p w:rsidR="00C34758" w:rsidRDefault="00C34758" w:rsidP="00A12103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A document describing the feedback process, available on request in different formats.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>TRAINING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Policy: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Grand Theatre provides training to all employees and volunteers who work with patrons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and all those who are involved in the development and approvals of customer service policies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and procedures on providing goods and services to visitors with disabilities. The Grand also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ensures that contracted third parties who deal with the public, have the required AODA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training.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Procedures: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Individuals in the following positions will be trained by the theatre: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Board of Directors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Senior Management Staff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Customer Service Staff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Front Line Staff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Volunteers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Training on servicing patrons with disabilities will supplement the larger training program,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which includes basic orientation, training of effective communication, general customer service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expectations, and specific Grand policies and procedures. A variety of training methods may be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employed, 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>i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ncluding formal and informal sessions, presentations, e-training, hand outs, fact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sheets and videos, depending on the type of position.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The training content, required by the Customer Service Standard, includes no less than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following: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The Grand’s commitment to access and customers with disabilities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The history of the legislation and the purposes of the Accessibility for Ontarians with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Disabilities Act, 2005 and the requirements of the customer service standard.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How to interact and communicate with people with various types of disabilities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How to interact with people with disabilities who use an assistive device or require the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assistance of a service animal or a support person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How to use the assistive devices provided by the Grand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What to do if a person with a disability is having difficulty in accessing the Grand’s goods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and services.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lastRenderedPageBreak/>
        <w:t>The Grand’s polices and procedures relating to the customer service standard.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On-going training in connection with any changes to the theatre’s policies and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procedures governing the provision of goods and services to people with disabilities.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Training records are kept for staff and volunteers who have completed training and include the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name, date and content. An evaluation process is in place for continuous improvement in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training content and delivery.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Staff and volunteers receive training as soon a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>s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 practicable, after an employee or volunteer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commences their duties as well as training updates as applicable.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A sustainability plan for ongoing training has been developed and includes: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Budget guidelines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Resources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Incorporating access into the orientation program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 w:rsidRPr="00A12103">
        <w:rPr>
          <w:rFonts w:ascii="TT15Ct00" w:hAnsi="TT15Ct00" w:cs="TT15Ct00"/>
          <w:color w:val="000000"/>
          <w:sz w:val="24"/>
          <w:szCs w:val="24"/>
          <w:lang w:val="en-CA"/>
        </w:rPr>
        <w:t>Training updates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Et00" w:hAnsi="TT15Et00" w:cs="TT15Et00"/>
          <w:color w:val="000000"/>
          <w:sz w:val="24"/>
          <w:szCs w:val="24"/>
          <w:lang w:val="en-CA"/>
        </w:rPr>
      </w:pPr>
      <w:r>
        <w:rPr>
          <w:rFonts w:ascii="TT15Et00" w:hAnsi="TT15Et00" w:cs="TT15Et00"/>
          <w:color w:val="000000"/>
          <w:sz w:val="24"/>
          <w:szCs w:val="24"/>
          <w:lang w:val="en-CA"/>
        </w:rPr>
        <w:t>POSTING OF POLICIES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 xml:space="preserve">Issued: 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>December 23, 2019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Policy: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Notices will be posted, informing the public that the documents required by the Customer</w:t>
      </w:r>
      <w:r w:rsidR="00A12103">
        <w:rPr>
          <w:rFonts w:ascii="TT15Ct00" w:hAnsi="TT15Ct00" w:cs="TT15Ct00"/>
          <w:color w:val="000000"/>
          <w:sz w:val="24"/>
          <w:szCs w:val="24"/>
          <w:lang w:val="en-CA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  <w:lang w:val="en-CA"/>
        </w:rPr>
        <w:t>Service Standard are available upon request and will be provided in a format that takes a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person’s disability into account.</w:t>
      </w:r>
    </w:p>
    <w:p w:rsidR="00A12103" w:rsidRDefault="00A12103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Procedures:</w:t>
      </w:r>
    </w:p>
    <w:p w:rsidR="00C34758" w:rsidRDefault="00C34758" w:rsidP="00C34758">
      <w:pPr>
        <w:widowControl/>
        <w:autoSpaceDE w:val="0"/>
        <w:autoSpaceDN w:val="0"/>
        <w:adjustRightInd w:val="0"/>
        <w:rPr>
          <w:rFonts w:ascii="TT15Ct00" w:hAnsi="TT15Ct00" w:cs="TT15Ct00"/>
          <w:color w:val="000000"/>
          <w:sz w:val="24"/>
          <w:szCs w:val="24"/>
          <w:lang w:val="en-CA"/>
        </w:rPr>
      </w:pPr>
      <w:r>
        <w:rPr>
          <w:rFonts w:ascii="TT15Ct00" w:hAnsi="TT15Ct00" w:cs="TT15Ct00"/>
          <w:color w:val="000000"/>
          <w:sz w:val="24"/>
          <w:szCs w:val="24"/>
          <w:lang w:val="en-CA"/>
        </w:rPr>
        <w:t>Documents are available through the following networks, as appropriate: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T15Ct00" w:hAnsi="TT15Ct00" w:cs="TT15Ct00"/>
          <w:sz w:val="24"/>
          <w:szCs w:val="24"/>
          <w:lang w:val="en-CA"/>
        </w:rPr>
      </w:pPr>
      <w:r w:rsidRPr="00A12103">
        <w:rPr>
          <w:rFonts w:ascii="TT15Ct00" w:hAnsi="TT15Ct00" w:cs="TT15Ct00"/>
          <w:sz w:val="24"/>
          <w:szCs w:val="24"/>
          <w:lang w:val="en-CA"/>
        </w:rPr>
        <w:t>Website: www.grandtheatre.com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T15Ct00" w:hAnsi="TT15Ct00" w:cs="TT15Ct00"/>
          <w:sz w:val="24"/>
          <w:szCs w:val="24"/>
          <w:lang w:val="en-CA"/>
        </w:rPr>
      </w:pPr>
      <w:r w:rsidRPr="00A12103">
        <w:rPr>
          <w:rFonts w:ascii="TT15Ct00" w:hAnsi="TT15Ct00" w:cs="TT15Ct00"/>
          <w:sz w:val="24"/>
          <w:szCs w:val="24"/>
          <w:lang w:val="en-CA"/>
        </w:rPr>
        <w:t>Intranet and employee bulletin boards for staff and volunteers</w:t>
      </w:r>
    </w:p>
    <w:p w:rsidR="00C34758" w:rsidRPr="00A12103" w:rsidRDefault="00C34758" w:rsidP="00A12103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T15Ct00" w:hAnsi="TT15Ct00" w:cs="TT15Ct00"/>
          <w:sz w:val="24"/>
          <w:szCs w:val="24"/>
          <w:lang w:val="en-CA"/>
        </w:rPr>
      </w:pPr>
      <w:r w:rsidRPr="00A12103">
        <w:rPr>
          <w:rFonts w:ascii="TT15Ct00" w:hAnsi="TT15Ct00" w:cs="TT15Ct00"/>
          <w:sz w:val="24"/>
          <w:szCs w:val="24"/>
          <w:lang w:val="en-CA"/>
        </w:rPr>
        <w:t>At the Box Office and House Manager’s Office</w:t>
      </w:r>
    </w:p>
    <w:p w:rsidR="00AA24B2" w:rsidRPr="00A12103" w:rsidRDefault="00C34758" w:rsidP="00A12103">
      <w:pPr>
        <w:pStyle w:val="ListParagraph"/>
        <w:numPr>
          <w:ilvl w:val="0"/>
          <w:numId w:val="11"/>
        </w:numPr>
      </w:pPr>
      <w:r w:rsidRPr="00A12103">
        <w:rPr>
          <w:rFonts w:ascii="TT15Ct00" w:hAnsi="TT15Ct00" w:cs="TT15Ct00"/>
          <w:sz w:val="24"/>
          <w:szCs w:val="24"/>
          <w:lang w:val="en-CA"/>
        </w:rPr>
        <w:t xml:space="preserve">From the </w:t>
      </w:r>
      <w:r w:rsidR="00A12103">
        <w:rPr>
          <w:rFonts w:ascii="TT15Ct00" w:hAnsi="TT15Ct00" w:cs="TT15Ct00"/>
          <w:sz w:val="24"/>
          <w:szCs w:val="24"/>
          <w:lang w:val="en-CA"/>
        </w:rPr>
        <w:t>Box Office</w:t>
      </w:r>
      <w:r w:rsidRPr="00A12103">
        <w:rPr>
          <w:rFonts w:ascii="TT15Ct00" w:hAnsi="TT15Ct00" w:cs="TT15Ct00"/>
          <w:sz w:val="24"/>
          <w:szCs w:val="24"/>
          <w:lang w:val="en-CA"/>
        </w:rPr>
        <w:t xml:space="preserve"> at 519 672 8800</w:t>
      </w:r>
    </w:p>
    <w:sectPr w:rsidR="00AA24B2" w:rsidRPr="00A12103" w:rsidSect="00C3475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86C"/>
    <w:multiLevelType w:val="hybridMultilevel"/>
    <w:tmpl w:val="FCD63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0B99"/>
    <w:multiLevelType w:val="hybridMultilevel"/>
    <w:tmpl w:val="4BD0E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A2F"/>
    <w:multiLevelType w:val="hybridMultilevel"/>
    <w:tmpl w:val="5C92C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495F"/>
    <w:multiLevelType w:val="hybridMultilevel"/>
    <w:tmpl w:val="2CECB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9140B"/>
    <w:multiLevelType w:val="hybridMultilevel"/>
    <w:tmpl w:val="A9B4C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461"/>
    <w:multiLevelType w:val="hybridMultilevel"/>
    <w:tmpl w:val="13D05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3152"/>
    <w:multiLevelType w:val="hybridMultilevel"/>
    <w:tmpl w:val="A16C2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31C7"/>
    <w:multiLevelType w:val="hybridMultilevel"/>
    <w:tmpl w:val="B7CEF0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D36"/>
    <w:multiLevelType w:val="hybridMultilevel"/>
    <w:tmpl w:val="A448E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4CAC"/>
    <w:multiLevelType w:val="hybridMultilevel"/>
    <w:tmpl w:val="6952E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62042"/>
    <w:multiLevelType w:val="hybridMultilevel"/>
    <w:tmpl w:val="8E06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7948"/>
    <w:multiLevelType w:val="hybridMultilevel"/>
    <w:tmpl w:val="1AE08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01499"/>
    <w:multiLevelType w:val="hybridMultilevel"/>
    <w:tmpl w:val="E7CAF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24F3"/>
    <w:multiLevelType w:val="hybridMultilevel"/>
    <w:tmpl w:val="5F20E004"/>
    <w:lvl w:ilvl="0" w:tplc="8B2460EE">
      <w:start w:val="1"/>
      <w:numFmt w:val="bullet"/>
      <w:lvlText w:val=""/>
      <w:lvlJc w:val="left"/>
      <w:pPr>
        <w:ind w:left="38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7CA381E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313644E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1226AAF8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5B44CEBA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529828A8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3A9A8DDE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16ECB51A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48B6CD64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B2"/>
    <w:rsid w:val="00034308"/>
    <w:rsid w:val="001809BB"/>
    <w:rsid w:val="002B0D09"/>
    <w:rsid w:val="00517189"/>
    <w:rsid w:val="006A7ECF"/>
    <w:rsid w:val="006F4D4C"/>
    <w:rsid w:val="007F4D1A"/>
    <w:rsid w:val="00A12103"/>
    <w:rsid w:val="00AA24B2"/>
    <w:rsid w:val="00C34758"/>
    <w:rsid w:val="00C60FCC"/>
    <w:rsid w:val="00C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4:docId w14:val="21400AEF"/>
  <w15:docId w15:val="{B0AC50B1-D6B1-4CE4-B482-5C63997D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21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ED438A3895142A5FDAB4A4DE4E0E4" ma:contentTypeVersion="8" ma:contentTypeDescription="Create a new document." ma:contentTypeScope="" ma:versionID="741619b3ae065ada90ccda43374732d2">
  <xsd:schema xmlns:xsd="http://www.w3.org/2001/XMLSchema" xmlns:xs="http://www.w3.org/2001/XMLSchema" xmlns:p="http://schemas.microsoft.com/office/2006/metadata/properties" xmlns:ns2="6158738a-82aa-40d8-af27-893b20f03a78" targetNamespace="http://schemas.microsoft.com/office/2006/metadata/properties" ma:root="true" ma:fieldsID="29dad1a60ff68c74413dc987db5683e1" ns2:_="">
    <xsd:import namespace="6158738a-82aa-40d8-af27-893b20f03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738a-82aa-40d8-af27-893b20f03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B55AA-9F60-4D4D-8E87-004B1AD51A3D}"/>
</file>

<file path=customXml/itemProps2.xml><?xml version="1.0" encoding="utf-8"?>
<ds:datastoreItem xmlns:ds="http://schemas.openxmlformats.org/officeDocument/2006/customXml" ds:itemID="{33A2A2DA-D852-41CC-B02F-D547B960D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 Accessibility Plan1.docx</vt:lpstr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 Accessibility Plan1.docx</dc:title>
  <dc:creator>Dianne</dc:creator>
  <cp:lastModifiedBy>Paul Fujimoto-Pihl</cp:lastModifiedBy>
  <cp:revision>3</cp:revision>
  <dcterms:created xsi:type="dcterms:W3CDTF">2019-12-23T16:18:00Z</dcterms:created>
  <dcterms:modified xsi:type="dcterms:W3CDTF">2019-12-23T16:35:00Z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2019-12-23T00:00:00Z</vt:filetime>
  </property>
</Properties>
</file>